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华文仿宋" w:hAnsi="华文仿宋" w:eastAsia="华文仿宋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1</w:t>
      </w:r>
    </w:p>
    <w:p>
      <w:pPr>
        <w:widowControl/>
        <w:spacing w:after="240" w:afterLines="100" w:line="560" w:lineRule="exact"/>
        <w:jc w:val="center"/>
        <w:rPr>
          <w:rFonts w:hint="eastAsia" w:ascii="方正小标宋简体" w:hAnsi="华文仿宋" w:eastAsia="方正小标宋简体"/>
          <w:color w:val="auto"/>
          <w:spacing w:val="-14"/>
          <w:sz w:val="36"/>
          <w:szCs w:val="36"/>
        </w:rPr>
      </w:pPr>
      <w:r>
        <w:rPr>
          <w:rFonts w:hint="eastAsia" w:ascii="方正小标宋简体" w:hAnsi="华文仿宋" w:eastAsia="方正小标宋简体"/>
          <w:color w:val="auto"/>
          <w:spacing w:val="-14"/>
          <w:sz w:val="36"/>
          <w:szCs w:val="36"/>
          <w:lang w:eastAsia="zh-CN"/>
        </w:rPr>
        <w:t>石河子大学</w:t>
      </w:r>
      <w:r>
        <w:rPr>
          <w:rFonts w:hint="eastAsia" w:ascii="方正小标宋简体" w:hAnsi="华文仿宋" w:eastAsia="方正小标宋简体"/>
          <w:color w:val="auto"/>
          <w:spacing w:val="-14"/>
          <w:sz w:val="36"/>
          <w:szCs w:val="36"/>
        </w:rPr>
        <w:t>干部人事档案材料形成部门归档内容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材料形成部门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20" w:lineRule="exact"/>
              <w:jc w:val="center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党委组织部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自传和思想类材料。主要有自传、参加党的重大教育活动情况和重要党性分析、重要思想汇报等材料。</w:t>
            </w:r>
          </w:p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考核鉴定类材料。主要有重大政治事件、突发事件和重大任务中的表现，援派、挂职锻炼考核鉴定，党组织书记抓基层党建评价意见等材料。</w:t>
            </w:r>
          </w:p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政审和审核类材料。主要有政治历史情况审查，履行干部选拔任用工作职责离任检查结果及说明，证明，干部基本信息审核认定、干部人事档案任前审核登记表，廉洁从业结论性评价等材料。</w:t>
            </w:r>
          </w:p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4.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出国和会议代表类材料。主要有出国（境）审批，当选党的代表大会等会议代表（委员）及相关职务等材料。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人事处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履历类材料。主要有《干部履历表》和干部简历等材料。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考核鉴定类材料。主要有平时考核、年度考核、专项考核、任（聘）期考核，工作鉴定等材料。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学历学位、专业技术职务（职称）、学术评鉴和教育培训类材料。主要有中学以来取得的学历学位，职业（任职）资格和评聘专业技术职务（职称），当选院士、入选重大人才工程，发明创造、科研成果获奖、著作译著和有重大影响的论文目录，政策理论、业务知识、文化素养培训和技能训练情况等材料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</w:rPr>
              <w:t>4.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工资、任免、出国和会议代表类材料。主要有工资待遇审批、参加社会保险，录用、聘用、招用、入伍、考察、任免、调配、军队转业（复员）安置、退（离）休、辞职、辞退，公务员（参照公务员法管理人员）登记、遴选、选调、调任、职级晋升，职务、职级套改，事业单位管理岗位职员等级晋升等材料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</w:rPr>
              <w:t>5.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其他可供组织参考的材料。主要有毕业生就业报到证、派遣证，工作调动介绍信，国（境）外永久居留资格、长期居留许可等证件有关内容的复印件和体检表等材料。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纪委、监察处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违规违纪违法处理处分类材料。主要有党纪政务处分，组织处理，法院刑事判决书、裁定书，公安机关有关行政处理决定，有关行业监管部门对干部有失诚信、违反法律和行政法规等行为形成的记录，人民法院认定的被执行人失信信息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审计处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spacing w:val="-10"/>
                <w:kern w:val="2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10"/>
                <w:kern w:val="2"/>
              </w:rPr>
              <w:t>审计类材料。主要有领导干部经济责任审计报告及整改情况等材料。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工会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表彰奖励类材料。主要有表彰和嘉奖、记功、授予荣誉称号，先进事迹以及撤销奖励等材料。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统战部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党、团类材料。主要有加入或者退出民主党派等材料。</w:t>
            </w:r>
          </w:p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会议代表类材料。主要有当选人民代表大会、政协会议、群团组织代表会议、民主党派代表会议等会议代表（委员）及相关职务等材料。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教师工作部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科学研究院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本科生院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研究生院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教学、科研、人才培养、师德师风等表彰奖励类材料。主要有表彰、嘉奖、记功、授予荣誉称号，先进事迹以及撤销奖励等材料。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国际合作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与交流部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出国类材料。主要有出国（境）审批等材料。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分党委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（党总支）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党、团类材料。主要有《中国共产党入党志愿书》、入党申请书、转正申请书、培养教育考察，党员登记表，停止党籍、恢复党籍，退党、脱党，保留组织关系、恢复组织生活，《中国共产主义青年团入团志愿书》、入团申请书等材料。</w:t>
            </w:r>
          </w:p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表彰奖励类材料。主要有表彰和嘉奖、记功、授予荣誉称号，先进事迹以及撤销奖励等材料。</w:t>
            </w:r>
          </w:p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kern w:val="2"/>
                <w:szCs w:val="22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政审和审核类材料。主要有政治历史情况审查，履行干部选拔任用工作职责离任检查结果及说明，证明，干部基本信息审核认定、干部人事档案任前审核登记表，廉洁从业结论性评价等材料。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其他单位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both"/>
              <w:rPr>
                <w:rFonts w:ascii="仿宋_GB2312" w:eastAsia="仿宋_GB2312" w:cs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Cs w:val="22"/>
              </w:rPr>
              <w:t>可供组织参考的相关重要材料。</w:t>
            </w:r>
          </w:p>
        </w:tc>
      </w:tr>
    </w:tbl>
    <w:p>
      <w:pPr>
        <w:ind w:right="240"/>
        <w:jc w:val="right"/>
        <w:rPr>
          <w:rFonts w:hint="default" w:ascii="黑体" w:hAnsi="黑体" w:eastAsia="黑体"/>
          <w:b/>
          <w:bCs/>
          <w:color w:val="auto"/>
          <w:sz w:val="32"/>
          <w:szCs w:val="32"/>
          <w:lang w:val="en-US"/>
        </w:rPr>
        <w:sectPr>
          <w:pgSz w:w="11906" w:h="16838"/>
          <w:pgMar w:top="1588" w:right="1418" w:bottom="1588" w:left="1418" w:header="851" w:footer="992" w:gutter="0"/>
          <w:pgNumType w:fmt="numberInDash"/>
          <w:cols w:space="425" w:num="1"/>
          <w:titlePg/>
          <w:docGrid w:linePitch="312" w:charSpace="0"/>
        </w:sectPr>
      </w:pP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石河子大学</w:t>
      </w:r>
      <w:r>
        <w:rPr>
          <w:rFonts w:hint="eastAsia" w:ascii="仿宋" w:hAnsi="仿宋" w:eastAsia="仿宋" w:cs="宋体"/>
          <w:color w:val="auto"/>
          <w:kern w:val="0"/>
          <w:sz w:val="24"/>
          <w:lang w:val="en-US" w:eastAsia="zh-CN"/>
        </w:rPr>
        <w:t>党委教师工作部（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人事处）</w:t>
      </w:r>
      <w:r>
        <w:rPr>
          <w:rFonts w:hint="eastAsia" w:ascii="仿宋" w:hAnsi="仿宋" w:eastAsia="仿宋" w:cs="宋体"/>
          <w:color w:val="auto"/>
          <w:kern w:val="0"/>
          <w:sz w:val="24"/>
          <w:lang w:val="en-US" w:eastAsia="zh-CN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MTA0ZGI4MWIyZmYzY2JlNWYxM2JiMmJiNjczNWQifQ=="/>
  </w:docVars>
  <w:rsids>
    <w:rsidRoot w:val="00000000"/>
    <w:rsid w:val="21247A31"/>
    <w:rsid w:val="2E7035CF"/>
    <w:rsid w:val="3FAF7CCF"/>
    <w:rsid w:val="4FAE3B00"/>
    <w:rsid w:val="5FA10F8B"/>
    <w:rsid w:val="725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1358</Words>
  <Characters>1372</Characters>
  <Lines>0</Lines>
  <Paragraphs>0</Paragraphs>
  <TotalTime>1</TotalTime>
  <ScaleCrop>false</ScaleCrop>
  <LinksUpToDate>false</LinksUpToDate>
  <CharactersWithSpaces>1377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2022-06-27T11:08:28Z</dcterms:created>
  <dc:creator>Administrator</dc:creator>
  <cp:lastModifiedBy>李钦曾</cp:lastModifiedBy>
  <dcterms:modified xsi:type="dcterms:W3CDTF">2022-06-27T11:09:47Z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3C806694A24E4CA1B7960ACDD5EFBDB9</vt:lpwstr>
  </property>
</Properties>
</file>